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Justificación de Personalización</w:t>
      </w:r>
    </w:p>
    <w:p>
      <w:r>
        <w:rPr>
          <w:color w:val="5C6B7A"/>
          <w:sz w:val="21"/>
        </w:rPr>
        <w:t>Template del capítulo 10. Si no se puede llenar, no se personaliza.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Qué se pide</w:t>
      </w:r>
    </w:p>
    <w:p>
      <w:r>
        <w:rPr>
          <w:b/>
          <w:sz w:val="21"/>
        </w:rPr>
        <w:t>Descripción de la personalización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Quién la pide y para qué proceso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Por qué no sirve el estándar</w:t>
      </w:r>
    </w:p>
    <w:p>
      <w:r>
        <w:rPr>
          <w:b/>
          <w:sz w:val="21"/>
        </w:rPr>
        <w:t>Qué hace hoy el sistema y por qué no alcanza</w:t>
      </w:r>
    </w:p>
    <w:p>
      <w:r>
        <w:rPr>
          <w:i/>
          <w:color w:val="7D8B95"/>
          <w:sz w:val="18"/>
        </w:rPr>
        <w:t>Si la respuesta es "así lo hacemos siempre", no es razón.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Ventaja competitiva</w:t>
      </w:r>
    </w:p>
    <w:p>
      <w:r>
        <w:rPr>
          <w:b/>
          <w:sz w:val="21"/>
        </w:rPr>
        <w:t>¿Esto es lo que te distingue de tu competencia?</w:t>
      </w:r>
    </w:p>
    <w:p>
      <w:r>
        <w:rPr>
          <w:i/>
          <w:color w:val="7D8B95"/>
          <w:sz w:val="18"/>
        </w:rPr>
        <w:t>Si tu competencia lo hace igual, no es ventaja: es costumbre.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Números</w:t>
      </w:r>
    </w:p>
    <w:p>
      <w:r>
        <w:rPr>
          <w:b/>
          <w:sz w:val="21"/>
        </w:rPr>
        <w:t>Qué se gana, medido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Qué cuesta: desarrollo, mantenimiento y actualizaciones futuras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Decisión</w:t>
      </w:r>
    </w:p>
    <w:p>
      <w:r>
        <w:rPr>
          <w:b/>
          <w:sz w:val="21"/>
        </w:rPr>
        <w:t>Aprobada / rechazada · quién y cuándo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